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EC2AE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4453CC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AC296F" w:rsidRDefault="00A5077D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OCTUBRE</w:t>
      </w:r>
      <w:r w:rsidR="00A92626">
        <w:rPr>
          <w:rFonts w:ascii="Century Gothic" w:hAnsi="Century Gothic"/>
          <w:b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>DICIEM</w:t>
      </w:r>
      <w:r w:rsidR="007A4633">
        <w:rPr>
          <w:rFonts w:ascii="Century Gothic" w:hAnsi="Century Gothic"/>
          <w:b/>
          <w:sz w:val="20"/>
          <w:szCs w:val="20"/>
        </w:rPr>
        <w:t>BRE</w:t>
      </w:r>
      <w:r w:rsidR="00A92626">
        <w:rPr>
          <w:rFonts w:ascii="Century Gothic" w:hAnsi="Century Gothic"/>
          <w:b/>
          <w:sz w:val="20"/>
          <w:szCs w:val="20"/>
        </w:rPr>
        <w:t xml:space="preserve"> </w:t>
      </w:r>
      <w:r w:rsidR="00803955">
        <w:rPr>
          <w:rFonts w:ascii="Century Gothic" w:hAnsi="Century Gothic"/>
          <w:b/>
          <w:sz w:val="20"/>
          <w:szCs w:val="20"/>
        </w:rPr>
        <w:t xml:space="preserve"> 20</w:t>
      </w:r>
      <w:r w:rsidR="00CC3ADF">
        <w:rPr>
          <w:rFonts w:ascii="Century Gothic" w:hAnsi="Century Gothic"/>
          <w:b/>
          <w:sz w:val="20"/>
          <w:szCs w:val="20"/>
        </w:rPr>
        <w:t>2</w:t>
      </w:r>
      <w:r w:rsidR="00A86C08">
        <w:rPr>
          <w:rFonts w:ascii="Century Gothic" w:hAnsi="Century Gothic"/>
          <w:b/>
          <w:sz w:val="20"/>
          <w:szCs w:val="20"/>
        </w:rPr>
        <w:t>2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P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805B29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09:00a.m.-16:00p.m.</w:t>
            </w:r>
          </w:p>
          <w:p w:rsidR="00237DDD" w:rsidRPr="00805B29" w:rsidRDefault="00E84F78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  <w:lang w:val="en-US"/>
              </w:rPr>
            </w:pPr>
            <w:hyperlink r:id="rId7" w:history="1">
              <w:r w:rsidR="00A92626" w:rsidRPr="00805B29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  <w:lang w:val="en-US"/>
                </w:rPr>
                <w:t>REGISTROCIVIL@cabocorrientes.gob.mx</w:t>
              </w:r>
            </w:hyperlink>
          </w:p>
          <w:p w:rsidR="004453CC" w:rsidRPr="00805B29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805B29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  <w:t>01 322 2690090 ext. 108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patrimonio de la sociedad </w:t>
            </w:r>
            <w:proofErr w:type="spellStart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cabense</w:t>
            </w:r>
            <w:proofErr w:type="spellEnd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Pr="006A2665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 objetivo del Registro Civil es facilitar los </w:t>
            </w:r>
            <w:r w:rsidR="00B10200">
              <w:rPr>
                <w:rFonts w:ascii="Century Gothic" w:hAnsi="Century Gothic"/>
                <w:sz w:val="18"/>
                <w:szCs w:val="18"/>
              </w:rPr>
              <w:t>trámites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registro</w:t>
            </w:r>
            <w:r w:rsidR="00CC3ADF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, buen trato, responsabilidad, compromiso, respeto, eficacia y satisfacción, logrando con esto que los ciudadanos que acudan a solicitar algún </w:t>
            </w:r>
            <w:r w:rsidR="00B10200">
              <w:rPr>
                <w:rFonts w:ascii="Century Gothic" w:hAnsi="Century Gothic"/>
                <w:sz w:val="18"/>
                <w:szCs w:val="18"/>
              </w:rPr>
              <w:t>trámite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Pr="006A2665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</w:t>
            </w:r>
            <w:r w:rsidR="00CC3ADF">
              <w:rPr>
                <w:rFonts w:ascii="Century Gothic" w:hAnsi="Century Gothic" w:cs="Tahoma"/>
                <w:sz w:val="18"/>
                <w:szCs w:val="18"/>
              </w:rPr>
              <w:t>: arriba mencionado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 xml:space="preserve"> y Notas marginales</w:t>
            </w:r>
            <w:r w:rsidR="00CC3ADF">
              <w:rPr>
                <w:rFonts w:ascii="Century Gothic" w:hAnsi="Century Gothic" w:cs="Tahoma"/>
                <w:sz w:val="18"/>
                <w:szCs w:val="18"/>
              </w:rPr>
              <w:t>, oficios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665">
              <w:rPr>
                <w:rFonts w:ascii="Century Gothic" w:hAnsi="Century Gothic"/>
                <w:sz w:val="18"/>
                <w:szCs w:val="18"/>
              </w:rPr>
              <w:t xml:space="preserve">Durante este trimestre se </w:t>
            </w:r>
            <w:r w:rsidR="001940A7">
              <w:rPr>
                <w:rFonts w:ascii="Century Gothic" w:hAnsi="Century Gothic"/>
                <w:sz w:val="18"/>
                <w:szCs w:val="18"/>
              </w:rPr>
              <w:t xml:space="preserve"> realizaron: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Nacimientos </w:t>
            </w:r>
            <w:r w:rsidR="00A5077D">
              <w:rPr>
                <w:rFonts w:ascii="Century Gothic" w:hAnsi="Century Gothic"/>
                <w:sz w:val="18"/>
                <w:szCs w:val="18"/>
              </w:rPr>
              <w:t>37</w:t>
            </w:r>
          </w:p>
          <w:p w:rsidR="00340A66" w:rsidRDefault="00340A66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Reconocimientos </w:t>
            </w:r>
            <w:r w:rsidR="00A5077D"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A5077D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Matrimonios   </w:t>
            </w:r>
            <w:r w:rsidR="00A5077D">
              <w:rPr>
                <w:rFonts w:ascii="Century Gothic" w:hAnsi="Century Gothic"/>
                <w:sz w:val="18"/>
                <w:szCs w:val="18"/>
              </w:rPr>
              <w:t>36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Defunciones   </w:t>
            </w:r>
            <w:r w:rsidR="009D4B8F">
              <w:rPr>
                <w:rFonts w:ascii="Century Gothic" w:hAnsi="Century Gothic"/>
                <w:sz w:val="18"/>
                <w:szCs w:val="18"/>
              </w:rPr>
              <w:t>10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Divorcios         </w:t>
            </w:r>
            <w:r w:rsidR="009D4B8F"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940A7" w:rsidRDefault="0060616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Registros extemporáneos </w:t>
            </w:r>
            <w:r w:rsidR="009D4B8F"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Adopciones    </w:t>
            </w:r>
            <w:r w:rsidR="009D4B8F"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Notas marginales </w:t>
            </w:r>
            <w:r w:rsidR="009D4B8F">
              <w:rPr>
                <w:rFonts w:ascii="Century Gothic" w:hAnsi="Century Gothic"/>
                <w:sz w:val="18"/>
                <w:szCs w:val="18"/>
              </w:rPr>
              <w:t>19</w:t>
            </w:r>
          </w:p>
          <w:p w:rsidR="00340A66" w:rsidRDefault="00340A66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Inscripción de nacimiento </w:t>
            </w:r>
            <w:r w:rsidR="00C0538C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Actas </w:t>
            </w:r>
            <w:r w:rsidR="00606169">
              <w:rPr>
                <w:rFonts w:ascii="Century Gothic" w:hAnsi="Century Gothic"/>
                <w:sz w:val="18"/>
                <w:szCs w:val="18"/>
              </w:rPr>
              <w:t xml:space="preserve">certificadas   </w:t>
            </w:r>
            <w:r w:rsidR="009D4B8F">
              <w:rPr>
                <w:rFonts w:ascii="Century Gothic" w:hAnsi="Century Gothic"/>
                <w:sz w:val="18"/>
                <w:szCs w:val="18"/>
              </w:rPr>
              <w:t>618</w:t>
            </w:r>
          </w:p>
          <w:p w:rsidR="001940A7" w:rsidRDefault="00B10200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Oficios    </w:t>
            </w:r>
            <w:r w:rsidR="009D4B8F">
              <w:rPr>
                <w:rFonts w:ascii="Century Gothic" w:hAnsi="Century Gothic"/>
                <w:sz w:val="18"/>
                <w:szCs w:val="18"/>
              </w:rPr>
              <w:t>13</w:t>
            </w:r>
          </w:p>
          <w:p w:rsidR="00942994" w:rsidRPr="006A2665" w:rsidRDefault="00EB029C" w:rsidP="009D4B8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Curp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9D4B8F">
              <w:rPr>
                <w:rFonts w:ascii="Century Gothic" w:hAnsi="Century Gothic"/>
                <w:sz w:val="18"/>
                <w:szCs w:val="18"/>
              </w:rPr>
              <w:t>289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bookmarkStart w:id="0" w:name="_GoBack"/>
      <w:r w:rsidRPr="003E46AD">
        <w:rPr>
          <w:rFonts w:ascii="Century Gothic" w:hAnsi="Century Gothic"/>
          <w:noProof/>
          <w:sz w:val="18"/>
          <w:szCs w:val="20"/>
          <w:lang w:val="es-MX" w:eastAsia="es-MX"/>
        </w:rPr>
        <w:lastRenderedPageBreak/>
        <w:drawing>
          <wp:inline distT="0" distB="0" distL="0" distR="0">
            <wp:extent cx="5486400" cy="20859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96B0B" w:rsidRP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</w:t>
      </w:r>
      <w:r w:rsidR="00B10200">
        <w:rPr>
          <w:rFonts w:ascii="Century Gothic" w:hAnsi="Century Gothic"/>
          <w:sz w:val="20"/>
          <w:szCs w:val="20"/>
        </w:rPr>
        <w:t>se giraron</w:t>
      </w:r>
      <w:r>
        <w:rPr>
          <w:rFonts w:ascii="Century Gothic" w:hAnsi="Century Gothic"/>
          <w:sz w:val="20"/>
          <w:szCs w:val="20"/>
        </w:rPr>
        <w:t xml:space="preserve"> un total de </w:t>
      </w:r>
      <w:r w:rsidR="009D4B8F">
        <w:rPr>
          <w:rFonts w:ascii="Century Gothic" w:hAnsi="Century Gothic"/>
          <w:sz w:val="20"/>
          <w:szCs w:val="20"/>
        </w:rPr>
        <w:t>13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C0538C" w:rsidRDefault="00C0538C" w:rsidP="00C0538C">
      <w:pPr>
        <w:jc w:val="center"/>
        <w:rPr>
          <w:rFonts w:ascii="Tahoma" w:hAnsi="Tahoma" w:cs="Tahoma"/>
          <w:b/>
          <w:sz w:val="22"/>
          <w:szCs w:val="22"/>
          <w:lang w:val="es-ES" w:eastAsia="en-US"/>
        </w:rPr>
      </w:pPr>
      <w:r>
        <w:rPr>
          <w:rFonts w:ascii="Tahoma" w:hAnsi="Tahoma" w:cs="Tahoma"/>
          <w:b/>
          <w:lang w:val="es-ES"/>
        </w:rPr>
        <w:t>“2023, Año del Bicentenario del Nacimiento del Estado Libre y Soberano de Jalisco”.</w:t>
      </w:r>
    </w:p>
    <w:p w:rsidR="00805B29" w:rsidRDefault="001559F0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EL TUITO MUNICIPIO DE CABO CORRIENTES JAL., </w:t>
      </w:r>
      <w:r w:rsidR="00C0538C">
        <w:rPr>
          <w:rFonts w:ascii="Century Gothic" w:hAnsi="Century Gothic"/>
          <w:b/>
          <w:sz w:val="20"/>
          <w:szCs w:val="20"/>
        </w:rPr>
        <w:t>17</w:t>
      </w:r>
      <w:r w:rsidR="00B10200">
        <w:rPr>
          <w:rFonts w:ascii="Century Gothic" w:hAnsi="Century Gothic"/>
          <w:b/>
          <w:sz w:val="20"/>
          <w:szCs w:val="20"/>
        </w:rPr>
        <w:t xml:space="preserve"> </w:t>
      </w:r>
      <w:r w:rsidR="00606169">
        <w:rPr>
          <w:rFonts w:ascii="Century Gothic" w:hAnsi="Century Gothic"/>
          <w:b/>
          <w:sz w:val="20"/>
          <w:szCs w:val="20"/>
        </w:rPr>
        <w:t xml:space="preserve">DE </w:t>
      </w:r>
      <w:r w:rsidR="00C0538C">
        <w:rPr>
          <w:rFonts w:ascii="Century Gothic" w:hAnsi="Century Gothic"/>
          <w:b/>
          <w:sz w:val="20"/>
          <w:szCs w:val="20"/>
        </w:rPr>
        <w:t>ENER</w:t>
      </w:r>
      <w:r w:rsidR="007A4633">
        <w:rPr>
          <w:rFonts w:ascii="Century Gothic" w:hAnsi="Century Gothic"/>
          <w:b/>
          <w:sz w:val="20"/>
          <w:szCs w:val="20"/>
        </w:rPr>
        <w:t>O</w:t>
      </w:r>
      <w:r w:rsidR="00805B2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 w:rsidR="00805B29">
        <w:rPr>
          <w:rFonts w:ascii="Century Gothic" w:hAnsi="Century Gothic"/>
          <w:b/>
          <w:sz w:val="20"/>
          <w:szCs w:val="20"/>
        </w:rPr>
        <w:t xml:space="preserve"> 20</w:t>
      </w:r>
      <w:r w:rsidR="00B10200">
        <w:rPr>
          <w:rFonts w:ascii="Century Gothic" w:hAnsi="Century Gothic"/>
          <w:b/>
          <w:sz w:val="20"/>
          <w:szCs w:val="20"/>
        </w:rPr>
        <w:t>2</w:t>
      </w:r>
      <w:r w:rsidR="00C0538C">
        <w:rPr>
          <w:rFonts w:ascii="Century Gothic" w:hAnsi="Century Gothic"/>
          <w:b/>
          <w:sz w:val="20"/>
          <w:szCs w:val="20"/>
        </w:rPr>
        <w:t>3</w:t>
      </w:r>
      <w:r w:rsidR="00805B29">
        <w:rPr>
          <w:rFonts w:ascii="Century Gothic" w:hAnsi="Century Gothic"/>
          <w:b/>
          <w:sz w:val="20"/>
          <w:szCs w:val="20"/>
        </w:rPr>
        <w:t>.</w:t>
      </w:r>
    </w:p>
    <w:p w:rsidR="00805B29" w:rsidRPr="00FE7882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</w:t>
      </w:r>
      <w:r w:rsidR="00EB029C">
        <w:rPr>
          <w:rFonts w:ascii="Century Gothic" w:hAnsi="Century Gothic"/>
          <w:b/>
          <w:sz w:val="20"/>
          <w:szCs w:val="20"/>
        </w:rPr>
        <w:t>21</w:t>
      </w:r>
      <w:r>
        <w:rPr>
          <w:rFonts w:ascii="Century Gothic" w:hAnsi="Century Gothic"/>
          <w:b/>
          <w:sz w:val="20"/>
          <w:szCs w:val="20"/>
        </w:rPr>
        <w:t>-202</w:t>
      </w:r>
      <w:r w:rsidR="00EB029C"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b/>
          <w:sz w:val="20"/>
          <w:szCs w:val="20"/>
        </w:rPr>
        <w:t>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</w:p>
    <w:sectPr w:rsidR="00C811C9" w:rsidRPr="00B96B0B" w:rsidSect="00AC2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665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18D3"/>
    <w:rsid w:val="000E695D"/>
    <w:rsid w:val="000E6EE4"/>
    <w:rsid w:val="000F185F"/>
    <w:rsid w:val="00104E4A"/>
    <w:rsid w:val="0011392A"/>
    <w:rsid w:val="00123461"/>
    <w:rsid w:val="001255C7"/>
    <w:rsid w:val="00135958"/>
    <w:rsid w:val="00140471"/>
    <w:rsid w:val="00150390"/>
    <w:rsid w:val="001559F0"/>
    <w:rsid w:val="00161543"/>
    <w:rsid w:val="001860ED"/>
    <w:rsid w:val="00187066"/>
    <w:rsid w:val="00192300"/>
    <w:rsid w:val="00193181"/>
    <w:rsid w:val="001940A7"/>
    <w:rsid w:val="001A609F"/>
    <w:rsid w:val="001C3835"/>
    <w:rsid w:val="001D2010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C3D55"/>
    <w:rsid w:val="0030427E"/>
    <w:rsid w:val="003138E6"/>
    <w:rsid w:val="00325630"/>
    <w:rsid w:val="00340A66"/>
    <w:rsid w:val="00360346"/>
    <w:rsid w:val="00362321"/>
    <w:rsid w:val="0038255A"/>
    <w:rsid w:val="00386496"/>
    <w:rsid w:val="0039040F"/>
    <w:rsid w:val="003A1100"/>
    <w:rsid w:val="003A5C86"/>
    <w:rsid w:val="003E187A"/>
    <w:rsid w:val="003E46AD"/>
    <w:rsid w:val="003F2E11"/>
    <w:rsid w:val="003F53F9"/>
    <w:rsid w:val="00424AD6"/>
    <w:rsid w:val="00442A70"/>
    <w:rsid w:val="00443A04"/>
    <w:rsid w:val="00444751"/>
    <w:rsid w:val="00444EAE"/>
    <w:rsid w:val="004453CC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50707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06169"/>
    <w:rsid w:val="00621815"/>
    <w:rsid w:val="006554CC"/>
    <w:rsid w:val="006615EE"/>
    <w:rsid w:val="006A2665"/>
    <w:rsid w:val="006A55A3"/>
    <w:rsid w:val="006B0728"/>
    <w:rsid w:val="006B6423"/>
    <w:rsid w:val="006D79ED"/>
    <w:rsid w:val="006E2CF2"/>
    <w:rsid w:val="006F08AC"/>
    <w:rsid w:val="006F204A"/>
    <w:rsid w:val="006F3A62"/>
    <w:rsid w:val="006F78D1"/>
    <w:rsid w:val="00700E37"/>
    <w:rsid w:val="00704EB9"/>
    <w:rsid w:val="00711B99"/>
    <w:rsid w:val="00771751"/>
    <w:rsid w:val="00776B75"/>
    <w:rsid w:val="007823DE"/>
    <w:rsid w:val="00783E0C"/>
    <w:rsid w:val="007A4633"/>
    <w:rsid w:val="007B10DB"/>
    <w:rsid w:val="007B67D3"/>
    <w:rsid w:val="007B740A"/>
    <w:rsid w:val="007C4C06"/>
    <w:rsid w:val="007C7E35"/>
    <w:rsid w:val="007D5AA0"/>
    <w:rsid w:val="007D7678"/>
    <w:rsid w:val="007E35AF"/>
    <w:rsid w:val="00803955"/>
    <w:rsid w:val="0080451B"/>
    <w:rsid w:val="00804CC1"/>
    <w:rsid w:val="00805B29"/>
    <w:rsid w:val="008100FE"/>
    <w:rsid w:val="00810EA3"/>
    <w:rsid w:val="00825413"/>
    <w:rsid w:val="008276CE"/>
    <w:rsid w:val="008326C2"/>
    <w:rsid w:val="00864894"/>
    <w:rsid w:val="00871182"/>
    <w:rsid w:val="00875468"/>
    <w:rsid w:val="008807C9"/>
    <w:rsid w:val="00880C03"/>
    <w:rsid w:val="00890F95"/>
    <w:rsid w:val="00894263"/>
    <w:rsid w:val="00896054"/>
    <w:rsid w:val="008A17B9"/>
    <w:rsid w:val="008B109A"/>
    <w:rsid w:val="008C350D"/>
    <w:rsid w:val="008C63BA"/>
    <w:rsid w:val="008C6BD3"/>
    <w:rsid w:val="008E25D2"/>
    <w:rsid w:val="008F01FC"/>
    <w:rsid w:val="008F34DA"/>
    <w:rsid w:val="008F5151"/>
    <w:rsid w:val="00914C98"/>
    <w:rsid w:val="00915E80"/>
    <w:rsid w:val="009217CE"/>
    <w:rsid w:val="00932545"/>
    <w:rsid w:val="00942994"/>
    <w:rsid w:val="0094424C"/>
    <w:rsid w:val="00950A23"/>
    <w:rsid w:val="009521DD"/>
    <w:rsid w:val="00952798"/>
    <w:rsid w:val="009552A8"/>
    <w:rsid w:val="00973F67"/>
    <w:rsid w:val="00993AB4"/>
    <w:rsid w:val="009946E3"/>
    <w:rsid w:val="009A2E86"/>
    <w:rsid w:val="009C3472"/>
    <w:rsid w:val="009C61CD"/>
    <w:rsid w:val="009D4B8F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077D"/>
    <w:rsid w:val="00A52077"/>
    <w:rsid w:val="00A52A94"/>
    <w:rsid w:val="00A53842"/>
    <w:rsid w:val="00A6577D"/>
    <w:rsid w:val="00A75B36"/>
    <w:rsid w:val="00A86C08"/>
    <w:rsid w:val="00A92626"/>
    <w:rsid w:val="00A93C32"/>
    <w:rsid w:val="00A93E03"/>
    <w:rsid w:val="00A95ABD"/>
    <w:rsid w:val="00AA52BC"/>
    <w:rsid w:val="00AB1EA3"/>
    <w:rsid w:val="00AC096C"/>
    <w:rsid w:val="00AC296F"/>
    <w:rsid w:val="00AC6DC1"/>
    <w:rsid w:val="00AD12E7"/>
    <w:rsid w:val="00AE38D5"/>
    <w:rsid w:val="00AF538C"/>
    <w:rsid w:val="00B00419"/>
    <w:rsid w:val="00B0783F"/>
    <w:rsid w:val="00B10200"/>
    <w:rsid w:val="00B27540"/>
    <w:rsid w:val="00B312E7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F0F7E"/>
    <w:rsid w:val="00C0538C"/>
    <w:rsid w:val="00C07D37"/>
    <w:rsid w:val="00C3043B"/>
    <w:rsid w:val="00C31572"/>
    <w:rsid w:val="00C642AE"/>
    <w:rsid w:val="00C668F1"/>
    <w:rsid w:val="00C811C9"/>
    <w:rsid w:val="00C81210"/>
    <w:rsid w:val="00C84DFD"/>
    <w:rsid w:val="00C85DB2"/>
    <w:rsid w:val="00C87D3D"/>
    <w:rsid w:val="00C9067A"/>
    <w:rsid w:val="00CB05A2"/>
    <w:rsid w:val="00CB081E"/>
    <w:rsid w:val="00CC3ADF"/>
    <w:rsid w:val="00CE18E6"/>
    <w:rsid w:val="00CE40C3"/>
    <w:rsid w:val="00CF2CB9"/>
    <w:rsid w:val="00D03075"/>
    <w:rsid w:val="00D0356F"/>
    <w:rsid w:val="00D0363C"/>
    <w:rsid w:val="00D0493C"/>
    <w:rsid w:val="00D20FE0"/>
    <w:rsid w:val="00D349AA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E81"/>
    <w:rsid w:val="00E03CCE"/>
    <w:rsid w:val="00E2287C"/>
    <w:rsid w:val="00E22AF4"/>
    <w:rsid w:val="00E33926"/>
    <w:rsid w:val="00E412C0"/>
    <w:rsid w:val="00E43872"/>
    <w:rsid w:val="00E53FE5"/>
    <w:rsid w:val="00E729BF"/>
    <w:rsid w:val="00E84F78"/>
    <w:rsid w:val="00EB029C"/>
    <w:rsid w:val="00EC2AE6"/>
    <w:rsid w:val="00ED26E9"/>
    <w:rsid w:val="00ED2868"/>
    <w:rsid w:val="00ED341B"/>
    <w:rsid w:val="00EE0377"/>
    <w:rsid w:val="00EE1492"/>
    <w:rsid w:val="00EE4E3E"/>
    <w:rsid w:val="00EE7A94"/>
    <w:rsid w:val="00F0624C"/>
    <w:rsid w:val="00F24CA3"/>
    <w:rsid w:val="00F4064B"/>
    <w:rsid w:val="00F4267B"/>
    <w:rsid w:val="00F57CE2"/>
    <w:rsid w:val="00F64B24"/>
    <w:rsid w:val="00F74157"/>
    <w:rsid w:val="00F90F16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96B2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REGISTROCIVIL@cabocorriente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Estadistica Octubre - Diciembre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Hoja1!$A$2:$A$14</c:f>
              <c:strCache>
                <c:ptCount val="12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 nac.</c:v>
                </c:pt>
                <c:pt idx="8">
                  <c:v>Anotaciones Marg.</c:v>
                </c:pt>
                <c:pt idx="9">
                  <c:v>Actas certificadas</c:v>
                </c:pt>
                <c:pt idx="10">
                  <c:v>Oficios</c:v>
                </c:pt>
                <c:pt idx="11">
                  <c:v>curp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37</c:v>
                </c:pt>
                <c:pt idx="1">
                  <c:v>1</c:v>
                </c:pt>
                <c:pt idx="2">
                  <c:v>37</c:v>
                </c:pt>
                <c:pt idx="3">
                  <c:v>10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19</c:v>
                </c:pt>
                <c:pt idx="9">
                  <c:v>618</c:v>
                </c:pt>
                <c:pt idx="10">
                  <c:v>13</c:v>
                </c:pt>
                <c:pt idx="11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20-40A8-9FB7-7C0C6DCDFED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Hoja1!$A$2:$A$14</c:f>
              <c:strCache>
                <c:ptCount val="12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 nac.</c:v>
                </c:pt>
                <c:pt idx="8">
                  <c:v>Anotaciones Marg.</c:v>
                </c:pt>
                <c:pt idx="9">
                  <c:v>Actas certificadas</c:v>
                </c:pt>
                <c:pt idx="10">
                  <c:v>Oficios</c:v>
                </c:pt>
                <c:pt idx="11">
                  <c:v>curp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2D20-40A8-9FB7-7C0C6DCDFED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Hoja1!$A$2:$A$14</c:f>
              <c:strCache>
                <c:ptCount val="12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 nac.</c:v>
                </c:pt>
                <c:pt idx="8">
                  <c:v>Anotaciones Marg.</c:v>
                </c:pt>
                <c:pt idx="9">
                  <c:v>Actas certificadas</c:v>
                </c:pt>
                <c:pt idx="10">
                  <c:v>Oficios</c:v>
                </c:pt>
                <c:pt idx="11">
                  <c:v>curp</c:v>
                </c:pt>
              </c:strCache>
            </c:strRef>
          </c:cat>
          <c:val>
            <c:numRef>
              <c:f>Hoja1!$D$2:$D$14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2D20-40A8-9FB7-7C0C6DCDF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755744"/>
        <c:axId val="173753000"/>
      </c:barChart>
      <c:catAx>
        <c:axId val="1737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3753000"/>
        <c:crosses val="autoZero"/>
        <c:auto val="1"/>
        <c:lblAlgn val="ctr"/>
        <c:lblOffset val="100"/>
        <c:noMultiLvlLbl val="0"/>
      </c:catAx>
      <c:valAx>
        <c:axId val="17375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375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AC42-9245-4AEF-918F-FDA00996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Compu01</cp:lastModifiedBy>
  <cp:revision>8</cp:revision>
  <cp:lastPrinted>2022-10-05T17:21:00Z</cp:lastPrinted>
  <dcterms:created xsi:type="dcterms:W3CDTF">2023-01-13T16:51:00Z</dcterms:created>
  <dcterms:modified xsi:type="dcterms:W3CDTF">2023-01-16T21:59:00Z</dcterms:modified>
</cp:coreProperties>
</file>